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 </w:t>
      </w:r>
      <w:r>
        <w:rPr>
          <w:rFonts w:hint="eastAsia" w:eastAsia="黑体"/>
          <w:sz w:val="28"/>
          <w:szCs w:val="28"/>
        </w:rPr>
        <w:t>幼儿园区域活动、环境创设打分表</w:t>
      </w:r>
    </w:p>
    <w:p>
      <w:pPr>
        <w:spacing w:line="100" w:lineRule="exact"/>
        <w:jc w:val="center"/>
        <w:rPr>
          <w:rFonts w:hint="eastAsia" w:eastAsia="黑体"/>
          <w:sz w:val="28"/>
          <w:szCs w:val="28"/>
        </w:rPr>
      </w:pPr>
    </w:p>
    <w:p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       时间：   月   日</w:t>
      </w:r>
    </w:p>
    <w:tbl>
      <w:tblPr>
        <w:tblStyle w:val="3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1555"/>
        <w:gridCol w:w="1555"/>
        <w:gridCol w:w="155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班  级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区 域 活 动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环 境 创 设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固定区域</w:t>
            </w:r>
          </w:p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（25分）</w:t>
            </w:r>
          </w:p>
        </w:tc>
        <w:tc>
          <w:tcPr>
            <w:tcW w:w="155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主题区域</w:t>
            </w:r>
          </w:p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（25分）</w:t>
            </w:r>
          </w:p>
        </w:tc>
        <w:tc>
          <w:tcPr>
            <w:tcW w:w="1555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主题墙</w:t>
            </w:r>
          </w:p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（25分）</w:t>
            </w:r>
          </w:p>
        </w:tc>
        <w:tc>
          <w:tcPr>
            <w:tcW w:w="1556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室内环境</w:t>
            </w:r>
          </w:p>
          <w:p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（25分）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hint="eastAsia"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426D"/>
    <w:rsid w:val="7AD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2018-11-15T04:05:00Z</dcterms:created>
  <dc:creator>党熙</dc:creator>
  <cp:lastModifiedBy>党熙</cp:lastModifiedBy>
  <dcterms:modified xsi:type="dcterms:W3CDTF">2018-11-15T04:05:49Z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